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BB36" w14:textId="6301EB1D" w:rsidR="007F1003" w:rsidRPr="00650420" w:rsidRDefault="007F1003" w:rsidP="007F1003">
      <w:pPr>
        <w:spacing w:after="0" w:line="240" w:lineRule="auto"/>
        <w:rPr>
          <w:b/>
        </w:rPr>
      </w:pPr>
      <w:bookmarkStart w:id="0" w:name="_Hlk99706770"/>
    </w:p>
    <w:p w14:paraId="4B4336AE" w14:textId="1BE5D479" w:rsidR="007F1003" w:rsidRPr="003C3A58" w:rsidRDefault="003C3A58" w:rsidP="003C3A58">
      <w:pPr>
        <w:pStyle w:val="Title"/>
        <w:jc w:val="center"/>
        <w:rPr>
          <w:sz w:val="36"/>
          <w:szCs w:val="36"/>
        </w:rPr>
      </w:pPr>
      <w:r w:rsidRPr="003C3A58">
        <w:rPr>
          <w:sz w:val="36"/>
          <w:szCs w:val="36"/>
        </w:rPr>
        <w:t>INFORMATION FOR VACANCY HIRING MANAGER</w:t>
      </w:r>
    </w:p>
    <w:p w14:paraId="42FB2141" w14:textId="5BA5B44A" w:rsidR="007F1003" w:rsidRPr="00650420" w:rsidRDefault="003C3A58" w:rsidP="007F1003">
      <w:pPr>
        <w:spacing w:after="0" w:line="240" w:lineRule="auto"/>
        <w:rPr>
          <w:b/>
        </w:rPr>
      </w:pPr>
      <w:r w:rsidRPr="00650420">
        <w:rPr>
          <w:noProof/>
          <w:lang w:eastAsia="en-AU"/>
        </w:rPr>
        <mc:AlternateContent>
          <mc:Choice Requires="wps">
            <w:drawing>
              <wp:anchor distT="0" distB="0" distL="114300" distR="114300" simplePos="0" relativeHeight="251659264" behindDoc="0" locked="0" layoutInCell="1" allowOverlap="1" wp14:anchorId="4A5C8952" wp14:editId="09882DB0">
                <wp:simplePos x="0" y="0"/>
                <wp:positionH relativeFrom="margin">
                  <wp:align>left</wp:align>
                </wp:positionH>
                <wp:positionV relativeFrom="paragraph">
                  <wp:posOffset>7620</wp:posOffset>
                </wp:positionV>
                <wp:extent cx="6296226" cy="600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226" cy="600075"/>
                        </a:xfrm>
                        <a:prstGeom prst="rect">
                          <a:avLst/>
                        </a:prstGeom>
                        <a:solidFill>
                          <a:srgbClr val="FFFFFF"/>
                        </a:solidFill>
                        <a:ln w="9525">
                          <a:solidFill>
                            <a:srgbClr val="3F2F45"/>
                          </a:solidFill>
                          <a:miter lim="800000"/>
                          <a:headEnd/>
                          <a:tailEnd/>
                        </a:ln>
                      </wps:spPr>
                      <wps:txbx>
                        <w:txbxContent>
                          <w:p w14:paraId="103D3E21" w14:textId="276F7A44" w:rsidR="007F1003" w:rsidRPr="007045EE" w:rsidRDefault="003C3A58" w:rsidP="007F1003">
                            <w:pPr>
                              <w:spacing w:after="0" w:line="240" w:lineRule="auto"/>
                            </w:pPr>
                            <w:r>
                              <w:rPr>
                                <w:szCs w:val="18"/>
                              </w:rPr>
                              <w:t>There is a whole-of government commitment to the management of employees declared excess through the various redeployment, retraining and retrenchment arrangements that have been included in enterprise agreements</w:t>
                            </w:r>
                            <w:r w:rsidR="007F1003" w:rsidRPr="007045E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C8952" id="_x0000_t202" coordsize="21600,21600" o:spt="202" path="m,l,21600r21600,l21600,xe">
                <v:stroke joinstyle="miter"/>
                <v:path gradientshapeok="t" o:connecttype="rect"/>
              </v:shapetype>
              <v:shape id="Text Box 2" o:spid="_x0000_s1026" type="#_x0000_t202" style="position:absolute;margin-left:0;margin-top:.6pt;width:495.75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3cFgIAAB8EAAAOAAAAZHJzL2Uyb0RvYy54bWysU9tu2zAMfR+wfxD0vtjxkrQx4hRdugwD&#10;ugvQ7gNkWY6FyaImKbGzry8lO2naYS/D/CCIJnVIHh6ubvpWkYOwToIu6HSSUiI0h0rqXUF/PG7f&#10;XVPiPNMVU6BFQY/C0Zv12zerzuQigwZUJSxBEO3yzhS08d7kSeJ4I1rmJmCERmcNtmUeTbtLKss6&#10;RG9VkqXpIunAVsYCF87h37vBSdcRv64F99/q2glPVEGxNh9PG88ynMl6xfKdZaaRfCyD/UMVLZMa&#10;k56h7phnZG/lH1Ct5BYc1H7CoU2griUXsQfsZpq+6uahYUbEXpAcZ840uf8Hy78eHsx3S3z/AXoc&#10;YGzCmXvgPx3RsGmY3olba6FrBKsw8TRQlnTG5ePTQLXLXQApuy9Q4ZDZ3kME6mvbBlawT4LoOIDj&#10;mXTRe8Lx5yJbLrJsQQlH3yJN06t5TMHy02tjnf8koCXhUlCLQ43o7HDvfKiG5aeQkMyBktVWKhUN&#10;uys3ypIDQwFs4zeivwhTmnQFXc6z+UDAXyHeb7Pt7FTgC4hWelSykm1Br7GLdNRWoO2jrqLOPJNq&#10;uGPJSo88BuoGEn1f9hgY+CyhOiKjFgbF4obhpQH7m5IO1VpQ92vPrKBEfdY4leV0NgvyjsZsfpWh&#10;YS895aWHaY5QBfWUDNeNjysRCNNwi9OrZST2uZKxVlRh5HvcmCDzSztGPe/1+gkAAP//AwBQSwME&#10;FAAGAAgAAAAhAOMItY7bAAAABQEAAA8AAABkcnMvZG93bnJldi54bWxMj81Ow0AMhO9IvMPKSNzo&#10;JpVKacimQhU9wKWiBc5u1vkRWW/IbtuUp8c9wc3jsWY+58vRdepIQ2g9G0gnCSji0tuWawPvu/Xd&#10;A6gQkS12nsnAmQIsi+urHDPrT/xGx22slYRwyNBAE2OfaR3KhhyGie+Jxav84DCKHGptBzxJuOv0&#10;NEnutcOWpaHBnlYNlV/bgzOAL5vv6udMO37+oNf1quL0c87G3N6MT4+gIo3x7xgu+IIOhTDt/YFt&#10;UJ0BeSTKdgpKzMUinYHayzCbgy5y/Z+++AUAAP//AwBQSwECLQAUAAYACAAAACEAtoM4kv4AAADh&#10;AQAAEwAAAAAAAAAAAAAAAAAAAAAAW0NvbnRlbnRfVHlwZXNdLnhtbFBLAQItABQABgAIAAAAIQA4&#10;/SH/1gAAAJQBAAALAAAAAAAAAAAAAAAAAC8BAABfcmVscy8ucmVsc1BLAQItABQABgAIAAAAIQBn&#10;wU3cFgIAAB8EAAAOAAAAAAAAAAAAAAAAAC4CAABkcnMvZTJvRG9jLnhtbFBLAQItABQABgAIAAAA&#10;IQDjCLWO2wAAAAUBAAAPAAAAAAAAAAAAAAAAAHAEAABkcnMvZG93bnJldi54bWxQSwUGAAAAAAQA&#10;BADzAAAAeAUAAAAA&#10;" strokecolor="#3f2f45">
                <v:textbox>
                  <w:txbxContent>
                    <w:p w14:paraId="103D3E21" w14:textId="276F7A44" w:rsidR="007F1003" w:rsidRPr="007045EE" w:rsidRDefault="003C3A58" w:rsidP="007F1003">
                      <w:pPr>
                        <w:spacing w:after="0" w:line="240" w:lineRule="auto"/>
                      </w:pPr>
                      <w:r>
                        <w:rPr>
                          <w:szCs w:val="18"/>
                        </w:rPr>
                        <w:t>There is a whole-of government commitment to the management of employees declared excess through the various redeployment, retraining and retrenchment arrangements that have been included in enterprise agreements</w:t>
                      </w:r>
                      <w:r w:rsidR="007F1003" w:rsidRPr="007045EE">
                        <w:t>.</w:t>
                      </w:r>
                    </w:p>
                  </w:txbxContent>
                </v:textbox>
                <w10:wrap anchorx="margin"/>
              </v:shape>
            </w:pict>
          </mc:Fallback>
        </mc:AlternateContent>
      </w:r>
    </w:p>
    <w:p w14:paraId="682A9020" w14:textId="7A8433B5" w:rsidR="007F1003" w:rsidRPr="00650420" w:rsidRDefault="007F1003" w:rsidP="007F1003">
      <w:pPr>
        <w:spacing w:after="0" w:line="240" w:lineRule="auto"/>
        <w:rPr>
          <w:b/>
        </w:rPr>
      </w:pPr>
    </w:p>
    <w:p w14:paraId="3CC09247" w14:textId="42B87A72" w:rsidR="007F1003" w:rsidRPr="00650420" w:rsidRDefault="007F1003" w:rsidP="007F1003">
      <w:pPr>
        <w:spacing w:after="0" w:line="240" w:lineRule="auto"/>
        <w:rPr>
          <w:b/>
        </w:rPr>
      </w:pPr>
    </w:p>
    <w:p w14:paraId="3A3E3A49" w14:textId="77777777" w:rsidR="007F1003" w:rsidRPr="00650420" w:rsidRDefault="007F1003" w:rsidP="007F1003">
      <w:pPr>
        <w:spacing w:after="0" w:line="240" w:lineRule="auto"/>
        <w:rPr>
          <w:b/>
        </w:rPr>
      </w:pPr>
    </w:p>
    <w:p w14:paraId="6DE1D900" w14:textId="0847F140" w:rsidR="007F1003" w:rsidRDefault="007F1003" w:rsidP="007F1003">
      <w:pPr>
        <w:spacing w:after="0" w:line="240" w:lineRule="auto"/>
        <w:rPr>
          <w:b/>
        </w:rPr>
      </w:pPr>
    </w:p>
    <w:bookmarkEnd w:id="0"/>
    <w:p w14:paraId="229801E3" w14:textId="77777777" w:rsidR="003C3A58" w:rsidRPr="003C3A58" w:rsidRDefault="003C3A58" w:rsidP="003C3A58">
      <w:pPr>
        <w:pStyle w:val="Heading3"/>
        <w:rPr>
          <w:lang w:val="en-US"/>
        </w:rPr>
      </w:pPr>
      <w:r w:rsidRPr="003C3A58">
        <w:t>PRIORITY CONSIDERATION</w:t>
      </w:r>
      <w:r w:rsidRPr="003C3A58">
        <w:rPr>
          <w:lang w:val="en-US"/>
        </w:rPr>
        <w:t xml:space="preserve"> </w:t>
      </w:r>
    </w:p>
    <w:p w14:paraId="3C8D21D4" w14:textId="709DBE2A" w:rsidR="003C3A58" w:rsidRPr="003C3A58" w:rsidRDefault="003C3A58" w:rsidP="003C3A58">
      <w:pPr>
        <w:rPr>
          <w:lang w:val="en-US"/>
        </w:rPr>
      </w:pPr>
      <w:r w:rsidRPr="003C3A58">
        <w:rPr>
          <w:lang w:val="en-US"/>
        </w:rPr>
        <w:t xml:space="preserve">Employees with a right to ongoing employment in the public sector, who have been formally declared excess to an agency’s requirements in accordance with </w:t>
      </w:r>
      <w:r w:rsidRPr="003C3A58">
        <w:rPr>
          <w:i/>
          <w:lang w:val="en-US"/>
        </w:rPr>
        <w:t>Determination and Guideline 7: Changes to Workforce Composition and Management of Excess Employees – Redeployment, Retraining and Redundancy</w:t>
      </w:r>
      <w:r w:rsidRPr="003C3A58">
        <w:rPr>
          <w:lang w:val="en-US"/>
        </w:rPr>
        <w:t xml:space="preserve"> may be put forward by their case manager for priority consideration</w:t>
      </w:r>
      <w:r w:rsidRPr="003C3A58">
        <w:rPr>
          <w:rStyle w:val="FootnoteReference"/>
          <w:lang w:val="en-US"/>
        </w:rPr>
        <w:footnoteReference w:id="1"/>
      </w:r>
      <w:r w:rsidRPr="003C3A58">
        <w:rPr>
          <w:lang w:val="en-US"/>
        </w:rPr>
        <w:t xml:space="preserve"> of suitable</w:t>
      </w:r>
      <w:r w:rsidRPr="003C3A58">
        <w:rPr>
          <w:rStyle w:val="FootnoteReference"/>
          <w:lang w:val="en-US"/>
        </w:rPr>
        <w:footnoteReference w:id="2"/>
      </w:r>
      <w:r w:rsidRPr="003C3A58">
        <w:rPr>
          <w:lang w:val="en-US"/>
        </w:rPr>
        <w:t xml:space="preserve"> roles within a South Australian </w:t>
      </w:r>
      <w:r w:rsidR="00F90130">
        <w:rPr>
          <w:lang w:val="en-US"/>
        </w:rPr>
        <w:t>g</w:t>
      </w:r>
      <w:r w:rsidRPr="003C3A58">
        <w:rPr>
          <w:lang w:val="en-US"/>
        </w:rPr>
        <w:t>overnment agency.</w:t>
      </w:r>
    </w:p>
    <w:p w14:paraId="0D579CFB" w14:textId="77777777" w:rsidR="003C3A58" w:rsidRPr="003C3A58" w:rsidRDefault="003C3A58" w:rsidP="003C3A58">
      <w:pPr>
        <w:rPr>
          <w:lang w:val="en-US"/>
        </w:rPr>
      </w:pPr>
      <w:r w:rsidRPr="003C3A58">
        <w:rPr>
          <w:lang w:val="en-US"/>
        </w:rPr>
        <w:t>Priority consideration can be requested at any stage of a recruitment process.</w:t>
      </w:r>
    </w:p>
    <w:p w14:paraId="752E104A" w14:textId="77777777" w:rsidR="003C3A58" w:rsidRPr="003C3A58" w:rsidRDefault="003C3A58" w:rsidP="003C3A58">
      <w:pPr>
        <w:rPr>
          <w:lang w:val="en-US"/>
        </w:rPr>
      </w:pPr>
    </w:p>
    <w:p w14:paraId="0333CF30" w14:textId="77777777" w:rsidR="003C3A58" w:rsidRPr="003C3A58" w:rsidRDefault="003C3A58" w:rsidP="003C3A58">
      <w:pPr>
        <w:rPr>
          <w:rStyle w:val="Strong"/>
        </w:rPr>
      </w:pPr>
      <w:r w:rsidRPr="003C3A58">
        <w:rPr>
          <w:rStyle w:val="Strong"/>
        </w:rPr>
        <w:t>What are your responsibilities?</w:t>
      </w:r>
    </w:p>
    <w:p w14:paraId="75A011EB" w14:textId="77777777" w:rsidR="003C3A58" w:rsidRPr="003C3A58" w:rsidRDefault="003C3A58" w:rsidP="003C3A58">
      <w:pPr>
        <w:rPr>
          <w:lang w:val="en-US"/>
        </w:rPr>
      </w:pPr>
      <w:r w:rsidRPr="003C3A58">
        <w:rPr>
          <w:lang w:val="en-US"/>
        </w:rPr>
        <w:t>An excess employee must be provided appropriate priority consideration for the role/vacancy. The home agency has initially assessed the excess employee’s suitability for the vacancy prior to being put forward. It is highly recommended that:</w:t>
      </w:r>
    </w:p>
    <w:p w14:paraId="18DC4808" w14:textId="5C916095" w:rsidR="003C3A58" w:rsidRPr="003C3A58" w:rsidRDefault="003C3A58" w:rsidP="003C3A58">
      <w:pPr>
        <w:pStyle w:val="ListParagraph"/>
        <w:rPr>
          <w:lang w:val="en-US"/>
        </w:rPr>
      </w:pPr>
      <w:r w:rsidRPr="003C3A58">
        <w:rPr>
          <w:lang w:val="en-US"/>
        </w:rPr>
        <w:t>You arrange a meeting with the employee as quickly as possible to the priority consideration request</w:t>
      </w:r>
      <w:r w:rsidR="00A60611">
        <w:rPr>
          <w:lang w:val="en-US"/>
        </w:rPr>
        <w:t>.</w:t>
      </w:r>
    </w:p>
    <w:p w14:paraId="55C4156D" w14:textId="5807C574" w:rsidR="003C3A58" w:rsidRPr="003C3A58" w:rsidRDefault="003C3A58" w:rsidP="003C3A58">
      <w:pPr>
        <w:pStyle w:val="ListParagraph"/>
        <w:rPr>
          <w:lang w:val="en-US"/>
        </w:rPr>
      </w:pPr>
      <w:r w:rsidRPr="003C3A58">
        <w:rPr>
          <w:lang w:val="en-US"/>
        </w:rPr>
        <w:t>You provide the employee the opportunity to demonstrate or provide evidence of capabilities required to perform the role responsibilities in person. This can be achieved by (verbal (suitability meeting), written (respond to four essential criteria), and obtain referee reports)</w:t>
      </w:r>
      <w:r w:rsidR="00A60611">
        <w:rPr>
          <w:lang w:val="en-US"/>
        </w:rPr>
        <w:t>.</w:t>
      </w:r>
    </w:p>
    <w:p w14:paraId="5E76CB1E" w14:textId="77777777" w:rsidR="003C3A58" w:rsidRPr="003C3A58" w:rsidRDefault="003C3A58" w:rsidP="003C3A58">
      <w:pPr>
        <w:pStyle w:val="ListParagraph"/>
        <w:rPr>
          <w:lang w:val="en-US"/>
        </w:rPr>
      </w:pPr>
      <w:r w:rsidRPr="003C3A58">
        <w:rPr>
          <w:lang w:val="en-US"/>
        </w:rPr>
        <w:t>If this is not possible you may ask that they provide examples of their work, which relate to the criteria, to you in writing if appropriate.</w:t>
      </w:r>
    </w:p>
    <w:p w14:paraId="0E5B138B" w14:textId="36C2243A" w:rsidR="003C3A58" w:rsidRPr="003C3A58" w:rsidRDefault="003C3A58" w:rsidP="003C3A58">
      <w:pPr>
        <w:ind w:left="426"/>
        <w:rPr>
          <w:lang w:val="en-US"/>
        </w:rPr>
      </w:pPr>
      <w:r w:rsidRPr="003C3A58">
        <w:rPr>
          <w:lang w:val="en-US"/>
        </w:rPr>
        <w:t xml:space="preserve">If the employee is covered by the </w:t>
      </w:r>
      <w:r w:rsidRPr="003C3A58">
        <w:rPr>
          <w:i/>
          <w:lang w:val="en-US"/>
        </w:rPr>
        <w:t>South Australian Public Sector Enterprise Agreement: Salaried 2021</w:t>
      </w:r>
      <w:r w:rsidRPr="003C3A58">
        <w:rPr>
          <w:lang w:val="en-US"/>
        </w:rPr>
        <w:t xml:space="preserve">, the </w:t>
      </w:r>
      <w:r w:rsidR="00F90130">
        <w:rPr>
          <w:lang w:val="en-US"/>
        </w:rPr>
        <w:t>c</w:t>
      </w:r>
      <w:r w:rsidRPr="003C3A58">
        <w:rPr>
          <w:lang w:val="en-US"/>
        </w:rPr>
        <w:t xml:space="preserve">ase </w:t>
      </w:r>
      <w:r w:rsidR="00F90130">
        <w:rPr>
          <w:lang w:val="en-US"/>
        </w:rPr>
        <w:t>m</w:t>
      </w:r>
      <w:r w:rsidRPr="003C3A58">
        <w:rPr>
          <w:lang w:val="en-US"/>
        </w:rPr>
        <w:t>anager should have provided you with a completed “Suitability Assessment and Assignment Template”.</w:t>
      </w:r>
    </w:p>
    <w:p w14:paraId="292BE465" w14:textId="264C0064" w:rsidR="00EF17E6" w:rsidRDefault="00EF17E6" w:rsidP="00EF17E6">
      <w:pPr>
        <w:spacing w:after="0" w:line="240" w:lineRule="auto"/>
      </w:pPr>
    </w:p>
    <w:p w14:paraId="4CB7D677" w14:textId="43AB80C7" w:rsidR="00165ED3" w:rsidRDefault="00165ED3" w:rsidP="00EF17E6">
      <w:pPr>
        <w:spacing w:after="0" w:line="240" w:lineRule="auto"/>
      </w:pPr>
    </w:p>
    <w:p w14:paraId="25781B33" w14:textId="0BB84341" w:rsidR="00165ED3" w:rsidRDefault="00165ED3" w:rsidP="00EF17E6">
      <w:pPr>
        <w:spacing w:after="0" w:line="240" w:lineRule="auto"/>
      </w:pPr>
    </w:p>
    <w:p w14:paraId="3D04ECDD" w14:textId="77777777" w:rsidR="00165ED3" w:rsidRDefault="00165ED3" w:rsidP="00165ED3">
      <w:pPr>
        <w:rPr>
          <w:color w:val="auto"/>
          <w:lang w:val="en-US"/>
        </w:rPr>
      </w:pPr>
      <w:r>
        <w:rPr>
          <w:lang w:val="en-US"/>
        </w:rPr>
        <w:lastRenderedPageBreak/>
        <w:t xml:space="preserve">The excess employee is </w:t>
      </w:r>
      <w:r>
        <w:rPr>
          <w:b/>
          <w:lang w:val="en-US"/>
        </w:rPr>
        <w:t xml:space="preserve">not required to undertake a </w:t>
      </w:r>
      <w:proofErr w:type="gramStart"/>
      <w:r>
        <w:rPr>
          <w:b/>
          <w:lang w:val="en-US"/>
        </w:rPr>
        <w:t>merit based</w:t>
      </w:r>
      <w:proofErr w:type="gramEnd"/>
      <w:r>
        <w:rPr>
          <w:b/>
          <w:lang w:val="en-US"/>
        </w:rPr>
        <w:t xml:space="preserve"> selection</w:t>
      </w:r>
      <w:r>
        <w:rPr>
          <w:lang w:val="en-US"/>
        </w:rPr>
        <w:t xml:space="preserve"> process but needs to be able to demonstrate/evidence capabilities to perform the role to a reasonable standard, which may include you asking questions to clarify the employee’s capabilities.</w:t>
      </w:r>
    </w:p>
    <w:p w14:paraId="00FFA1D9" w14:textId="77777777" w:rsidR="00165ED3" w:rsidRDefault="00165ED3" w:rsidP="00165ED3">
      <w:pPr>
        <w:rPr>
          <w:lang w:val="en-US"/>
        </w:rPr>
      </w:pPr>
      <w:r>
        <w:rPr>
          <w:lang w:val="en-US"/>
        </w:rPr>
        <w:t>Referees can be sought for verification of capabilities.</w:t>
      </w:r>
    </w:p>
    <w:p w14:paraId="69F0A0DA" w14:textId="77777777" w:rsidR="00165ED3" w:rsidRDefault="00165ED3" w:rsidP="00165ED3">
      <w:pPr>
        <w:rPr>
          <w:lang w:val="en-US"/>
        </w:rPr>
      </w:pPr>
      <w:r>
        <w:rPr>
          <w:lang w:val="en-US"/>
        </w:rPr>
        <w:t>Should you deem the employee:</w:t>
      </w:r>
    </w:p>
    <w:p w14:paraId="4F57ACAD" w14:textId="1ADCC1BF" w:rsidR="00165ED3" w:rsidRPr="005A6138" w:rsidRDefault="00165ED3" w:rsidP="005A6138">
      <w:pPr>
        <w:pStyle w:val="ListParagraph"/>
        <w:numPr>
          <w:ilvl w:val="0"/>
          <w:numId w:val="10"/>
        </w:numPr>
        <w:rPr>
          <w:lang w:val="en-US"/>
        </w:rPr>
      </w:pPr>
      <w:r w:rsidRPr="005A6138">
        <w:rPr>
          <w:lang w:val="en-US"/>
        </w:rPr>
        <w:t xml:space="preserve">suitable for the role – notify your </w:t>
      </w:r>
      <w:r w:rsidR="00F90130">
        <w:rPr>
          <w:lang w:val="en-US"/>
        </w:rPr>
        <w:t>h</w:t>
      </w:r>
      <w:r w:rsidRPr="005A6138">
        <w:rPr>
          <w:lang w:val="en-US"/>
        </w:rPr>
        <w:t xml:space="preserve">uman </w:t>
      </w:r>
      <w:r w:rsidR="00F90130">
        <w:rPr>
          <w:lang w:val="en-US"/>
        </w:rPr>
        <w:t>r</w:t>
      </w:r>
      <w:r w:rsidRPr="005A6138">
        <w:rPr>
          <w:lang w:val="en-US"/>
        </w:rPr>
        <w:t>esource to progress into role/contract/assignment</w:t>
      </w:r>
    </w:p>
    <w:p w14:paraId="71885A36" w14:textId="0A222F5D" w:rsidR="00165ED3" w:rsidRPr="005A6138" w:rsidRDefault="00165ED3" w:rsidP="005A6138">
      <w:pPr>
        <w:pStyle w:val="ListParagraph"/>
        <w:numPr>
          <w:ilvl w:val="0"/>
          <w:numId w:val="10"/>
        </w:numPr>
        <w:rPr>
          <w:lang w:val="en-US"/>
        </w:rPr>
      </w:pPr>
      <w:r w:rsidRPr="005A6138">
        <w:rPr>
          <w:lang w:val="en-US"/>
        </w:rPr>
        <w:t xml:space="preserve">suitable for the role – with additional training/development requirements (contact the </w:t>
      </w:r>
      <w:r w:rsidR="00F90130">
        <w:rPr>
          <w:lang w:val="en-US"/>
        </w:rPr>
        <w:t>c</w:t>
      </w:r>
      <w:r w:rsidRPr="005A6138">
        <w:rPr>
          <w:lang w:val="en-US"/>
        </w:rPr>
        <w:t xml:space="preserve">ase </w:t>
      </w:r>
      <w:r w:rsidR="00F90130">
        <w:rPr>
          <w:lang w:val="en-US"/>
        </w:rPr>
        <w:t>m</w:t>
      </w:r>
      <w:r w:rsidRPr="005A6138">
        <w:rPr>
          <w:lang w:val="en-US"/>
        </w:rPr>
        <w:t>anager to discussed options or support available)</w:t>
      </w:r>
    </w:p>
    <w:p w14:paraId="30F05769" w14:textId="7329358B" w:rsidR="00165ED3" w:rsidRPr="005A6138" w:rsidRDefault="00165ED3" w:rsidP="005A6138">
      <w:pPr>
        <w:pStyle w:val="ListParagraph"/>
        <w:numPr>
          <w:ilvl w:val="0"/>
          <w:numId w:val="10"/>
        </w:numPr>
        <w:rPr>
          <w:color w:val="auto"/>
          <w:lang w:val="en-US"/>
        </w:rPr>
      </w:pPr>
      <w:r w:rsidRPr="005A6138">
        <w:rPr>
          <w:lang w:val="en-US"/>
        </w:rPr>
        <w:t>not suitable for the role, you will be asked to provide written information on the appropriate form</w:t>
      </w:r>
      <w:r>
        <w:rPr>
          <w:rStyle w:val="FootnoteReference"/>
          <w:lang w:val="en-US"/>
        </w:rPr>
        <w:footnoteReference w:id="3"/>
      </w:r>
      <w:r w:rsidRPr="005A6138">
        <w:rPr>
          <w:lang w:val="en-US"/>
        </w:rPr>
        <w:t xml:space="preserve"> and return this to the employee’s </w:t>
      </w:r>
      <w:r w:rsidR="00F90130">
        <w:rPr>
          <w:lang w:val="en-US"/>
        </w:rPr>
        <w:t>c</w:t>
      </w:r>
      <w:r w:rsidRPr="005A6138">
        <w:rPr>
          <w:lang w:val="en-US"/>
        </w:rPr>
        <w:t xml:space="preserve">ase </w:t>
      </w:r>
      <w:r w:rsidR="00F90130">
        <w:rPr>
          <w:lang w:val="en-US"/>
        </w:rPr>
        <w:t>m</w:t>
      </w:r>
      <w:r w:rsidRPr="005A6138">
        <w:rPr>
          <w:lang w:val="en-US"/>
        </w:rPr>
        <w:t>anager.</w:t>
      </w:r>
    </w:p>
    <w:p w14:paraId="0F56126B" w14:textId="77777777" w:rsidR="00165ED3" w:rsidRPr="005A6138" w:rsidRDefault="00165ED3" w:rsidP="005A6138">
      <w:pPr>
        <w:pStyle w:val="ListParagraph"/>
        <w:numPr>
          <w:ilvl w:val="1"/>
          <w:numId w:val="12"/>
        </w:numPr>
        <w:rPr>
          <w:lang w:val="en-US"/>
        </w:rPr>
      </w:pPr>
      <w:r w:rsidRPr="005A6138">
        <w:rPr>
          <w:lang w:val="en-US"/>
        </w:rPr>
        <w:t>The employee must be provided the opportunity to respond and/or provide additional relevant information or evidence.</w:t>
      </w:r>
    </w:p>
    <w:p w14:paraId="3A764B58" w14:textId="25B46C0C" w:rsidR="00165ED3" w:rsidRDefault="00165ED3" w:rsidP="00165ED3">
      <w:pPr>
        <w:pStyle w:val="ListParagraph"/>
        <w:numPr>
          <w:ilvl w:val="1"/>
          <w:numId w:val="12"/>
        </w:numPr>
      </w:pPr>
      <w:r>
        <w:t>All parties</w:t>
      </w:r>
      <w:r>
        <w:rPr>
          <w:rStyle w:val="FootnoteReference"/>
        </w:rPr>
        <w:footnoteReference w:id="4"/>
      </w:r>
      <w:r>
        <w:t xml:space="preserve"> must be in agreeance before any role can progress further.</w:t>
      </w:r>
    </w:p>
    <w:p w14:paraId="009351C2" w14:textId="43791DD8" w:rsidR="00165ED3" w:rsidRDefault="00165ED3" w:rsidP="005A6138">
      <w:r>
        <w:t xml:space="preserve">In the event of disagreement about releasing any vacancy placed on hold for publication, the matter will, in the first instance be referred by the </w:t>
      </w:r>
      <w:r w:rsidR="00F90130">
        <w:t>c</w:t>
      </w:r>
      <w:r>
        <w:t xml:space="preserve">ase </w:t>
      </w:r>
      <w:r w:rsidR="00F90130">
        <w:t>m</w:t>
      </w:r>
      <w:r>
        <w:t xml:space="preserve">anager to the relevant </w:t>
      </w:r>
      <w:r w:rsidR="00A60611">
        <w:t>human resources</w:t>
      </w:r>
      <w:r>
        <w:t xml:space="preserve"> </w:t>
      </w:r>
      <w:r w:rsidR="00F90130">
        <w:t>d</w:t>
      </w:r>
      <w:r>
        <w:t xml:space="preserve">irector in the vacancy agency. The </w:t>
      </w:r>
      <w:r w:rsidR="00F90130">
        <w:t>c</w:t>
      </w:r>
      <w:r>
        <w:t xml:space="preserve">ase </w:t>
      </w:r>
      <w:r w:rsidR="00F90130">
        <w:t>m</w:t>
      </w:r>
      <w:r>
        <w:t xml:space="preserve">anager may also request their </w:t>
      </w:r>
      <w:r w:rsidR="00A60611">
        <w:t>human resources</w:t>
      </w:r>
      <w:r>
        <w:t xml:space="preserve"> </w:t>
      </w:r>
      <w:r w:rsidR="00F90130">
        <w:t>d</w:t>
      </w:r>
      <w:r>
        <w:t xml:space="preserve">irector to contact the </w:t>
      </w:r>
      <w:r w:rsidR="00A60611">
        <w:t>human resources</w:t>
      </w:r>
      <w:r>
        <w:t xml:space="preserve"> </w:t>
      </w:r>
      <w:r w:rsidR="00F90130">
        <w:t>d</w:t>
      </w:r>
      <w:r>
        <w:t>irector in the vacancy agency. The dispute processes within the relevant enterprise agreements should be referred to and complied with.</w:t>
      </w:r>
    </w:p>
    <w:p w14:paraId="2EB4265E" w14:textId="77777777" w:rsidR="00165ED3" w:rsidRDefault="00165ED3" w:rsidP="005A6138">
      <w:r>
        <w:t>Vacancies will be held until a final determination is made, taking all issues and perspectives that have been brought forward into consideration. This means that the status quo will remain until the matter is resolved.</w:t>
      </w:r>
    </w:p>
    <w:p w14:paraId="74C54052" w14:textId="75F64D41" w:rsidR="00165ED3" w:rsidRDefault="00165ED3" w:rsidP="005A6138">
      <w:r>
        <w:t xml:space="preserve">If the employee is covered by the </w:t>
      </w:r>
      <w:r>
        <w:rPr>
          <w:i/>
          <w:iCs/>
        </w:rPr>
        <w:t>South Australian Public Sector Enterprise Agreement: Salaried 2021</w:t>
      </w:r>
      <w:r>
        <w:t>, and there is disagreement about a matter concerning a vacancy, the vacancy will remain on hold until a resolution is reached, or if applicable, the outcome of a referral to the South Australian Employment Tribunal.</w:t>
      </w:r>
      <w:r w:rsidR="005A6138">
        <w:br/>
      </w:r>
    </w:p>
    <w:p w14:paraId="4E41747D" w14:textId="77777777" w:rsidR="00165ED3" w:rsidRDefault="00165ED3" w:rsidP="005A6138">
      <w:pPr>
        <w:rPr>
          <w:b/>
          <w:lang w:val="en-US"/>
        </w:rPr>
      </w:pPr>
      <w:r>
        <w:rPr>
          <w:b/>
          <w:lang w:val="en-US"/>
        </w:rPr>
        <w:t>Additional Information</w:t>
      </w:r>
    </w:p>
    <w:p w14:paraId="401EAC10" w14:textId="38B2C13C" w:rsidR="00165ED3" w:rsidRPr="005A6138" w:rsidRDefault="00165ED3" w:rsidP="005A6138">
      <w:r>
        <w:t xml:space="preserve">Additional information is available from the employee’s </w:t>
      </w:r>
      <w:r w:rsidR="00F90130">
        <w:t>c</w:t>
      </w:r>
      <w:r>
        <w:t xml:space="preserve">ase </w:t>
      </w:r>
      <w:r w:rsidR="00A60611">
        <w:t>m</w:t>
      </w:r>
      <w:r>
        <w:t xml:space="preserve">anager; your human resources area, the Office of the Commissioner for Public Sector Employment website </w:t>
      </w:r>
      <w:hyperlink r:id="rId11" w:history="1">
        <w:r>
          <w:rPr>
            <w:rStyle w:val="Hyperlink"/>
          </w:rPr>
          <w:t>http://publicsector.sa.gov.au</w:t>
        </w:r>
      </w:hyperlink>
      <w:r w:rsidRPr="005A6138">
        <w:rPr>
          <w:rStyle w:val="Hyperlink"/>
          <w:color w:val="3F2F45"/>
          <w:u w:val="none"/>
        </w:rPr>
        <w:t>, or by contacting the Office of the Commissioner for Public Sector Employment on 1800 317 333 or emailing publicsectorhr@sa.gov.au.</w:t>
      </w:r>
    </w:p>
    <w:p w14:paraId="641D6D6E" w14:textId="77777777" w:rsidR="00165ED3" w:rsidRDefault="00165ED3" w:rsidP="005A6138">
      <w:pPr>
        <w:rPr>
          <w:lang w:val="en-US"/>
        </w:rPr>
      </w:pPr>
    </w:p>
    <w:p w14:paraId="36F8D248" w14:textId="77777777" w:rsidR="00165ED3" w:rsidRPr="003C3A58" w:rsidRDefault="00165ED3" w:rsidP="005A6138"/>
    <w:sectPr w:rsidR="00165ED3" w:rsidRPr="003C3A58" w:rsidSect="00380DEA">
      <w:headerReference w:type="even" r:id="rId12"/>
      <w:footerReference w:type="default" r:id="rId13"/>
      <w:headerReference w:type="first" r:id="rId14"/>
      <w:footerReference w:type="first" r:id="rId15"/>
      <w:pgSz w:w="11906" w:h="16838"/>
      <w:pgMar w:top="170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6272" w14:textId="77777777" w:rsidR="003F0BC3" w:rsidRDefault="003F0BC3" w:rsidP="00E60A13">
      <w:r>
        <w:separator/>
      </w:r>
    </w:p>
  </w:endnote>
  <w:endnote w:type="continuationSeparator" w:id="0">
    <w:p w14:paraId="64BF5FAA" w14:textId="77777777" w:rsidR="003F0BC3" w:rsidRDefault="003F0BC3"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205E" w14:textId="04EE9766" w:rsidR="00EF17E6" w:rsidRPr="00EF17E6" w:rsidRDefault="00EF17E6" w:rsidP="00EF17E6">
    <w:pPr>
      <w:jc w:val="both"/>
      <w:rPr>
        <w:rFonts w:ascii="Calibri" w:hAnsi="Calibri" w:cs="Calibri"/>
        <w:color w:val="auto"/>
      </w:rPr>
    </w:pPr>
    <w:r w:rsidRPr="00AF6280">
      <w:rPr>
        <w:b/>
        <w:bCs/>
      </w:rPr>
      <w:t>Template</w:t>
    </w:r>
    <w:r w:rsidR="004A434C">
      <w:rPr>
        <w:b/>
        <w:bCs/>
      </w:rPr>
      <w:t xml:space="preserve"> SW-A</w:t>
    </w:r>
    <w:r>
      <w:tab/>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r w:rsidR="00A60611">
      <w:fldChar w:fldCharType="begin"/>
    </w:r>
    <w:r w:rsidR="00A60611">
      <w:instrText xml:space="preserve"> NUMPAGES  \* Arabic  \* MERGEFORMAT </w:instrText>
    </w:r>
    <w:r w:rsidR="00A60611">
      <w:fldChar w:fldCharType="separate"/>
    </w:r>
    <w:r>
      <w:t>2</w:t>
    </w:r>
    <w:r w:rsidR="00A6061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5D4" w14:textId="6627F76D" w:rsidR="0038521F" w:rsidRPr="00380DEA" w:rsidRDefault="00302575" w:rsidP="00380DEA">
    <w:pPr>
      <w:jc w:val="both"/>
      <w:rPr>
        <w:rFonts w:ascii="Calibri" w:hAnsi="Calibri" w:cs="Calibri"/>
        <w:color w:val="auto"/>
      </w:rPr>
    </w:pPr>
    <w:r w:rsidRPr="00AF6280">
      <w:rPr>
        <w:b/>
        <w:bCs/>
      </w:rPr>
      <w:t xml:space="preserve">Template </w:t>
    </w:r>
    <w:r w:rsidR="00165ED3">
      <w:rPr>
        <w:b/>
        <w:bCs/>
      </w:rPr>
      <w:t>SW-A</w:t>
    </w:r>
    <w:r>
      <w:tab/>
      <w:t xml:space="preserve">     </w:t>
    </w:r>
    <w:r>
      <w:tab/>
    </w:r>
    <w:r>
      <w:tab/>
    </w:r>
    <w:r>
      <w:tab/>
    </w:r>
    <w:r>
      <w:tab/>
    </w:r>
    <w:r>
      <w:tab/>
    </w:r>
    <w:r>
      <w:tab/>
    </w:r>
    <w:r>
      <w:tab/>
    </w:r>
    <w:r>
      <w:tab/>
      <w:t xml:space="preserve">       </w:t>
    </w:r>
    <w:r>
      <w:br/>
    </w:r>
    <w:r>
      <w:rPr>
        <w:color w:val="FF0000"/>
      </w:rPr>
      <w:t>OFFICIAL</w:t>
    </w:r>
    <w:r>
      <w:tab/>
    </w:r>
    <w:r>
      <w:tab/>
    </w:r>
    <w:r>
      <w:tab/>
    </w:r>
    <w:r>
      <w:tab/>
    </w:r>
    <w:r>
      <w:tab/>
    </w:r>
    <w:r>
      <w:tab/>
    </w:r>
    <w:r>
      <w:tab/>
    </w:r>
    <w:r>
      <w:tab/>
    </w:r>
    <w:r>
      <w:tab/>
    </w:r>
    <w:r>
      <w:tab/>
    </w:r>
    <w:r>
      <w:tab/>
    </w:r>
    <w:r>
      <w:rPr>
        <w:b/>
        <w:bCs/>
      </w:rPr>
      <w:t xml:space="preserve">     </w:t>
    </w:r>
    <w:r>
      <w:t xml:space="preserve">Page </w:t>
    </w:r>
    <w:r>
      <w:rPr>
        <w:b/>
        <w:bCs/>
      </w:rPr>
      <w:fldChar w:fldCharType="begin"/>
    </w:r>
    <w:r>
      <w:instrText xml:space="preserve"> PAGE  \* Arabic  \* MERGEFORMAT </w:instrText>
    </w:r>
    <w:r>
      <w:rPr>
        <w:b/>
        <w:bCs/>
      </w:rPr>
      <w:fldChar w:fldCharType="separate"/>
    </w:r>
    <w:r>
      <w:rPr>
        <w:b/>
        <w:bCs/>
      </w:rPr>
      <w:t>1</w:t>
    </w:r>
    <w:r>
      <w:rPr>
        <w:b/>
        <w:bCs/>
      </w:rPr>
      <w:fldChar w:fldCharType="end"/>
    </w:r>
    <w:r>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E4D8" w14:textId="77777777" w:rsidR="003F0BC3" w:rsidRDefault="003F0BC3" w:rsidP="00E60A13">
      <w:r>
        <w:separator/>
      </w:r>
    </w:p>
  </w:footnote>
  <w:footnote w:type="continuationSeparator" w:id="0">
    <w:p w14:paraId="3CAE027E" w14:textId="77777777" w:rsidR="003F0BC3" w:rsidRDefault="003F0BC3" w:rsidP="00E60A13">
      <w:r>
        <w:continuationSeparator/>
      </w:r>
    </w:p>
  </w:footnote>
  <w:footnote w:id="1">
    <w:p w14:paraId="0C2628D7" w14:textId="761A9182" w:rsidR="003C3A58" w:rsidRPr="003C3A58" w:rsidRDefault="003C3A58" w:rsidP="003C3A58">
      <w:pPr>
        <w:pStyle w:val="FootnoteText"/>
        <w:ind w:left="142" w:hanging="142"/>
        <w:rPr>
          <w:rFonts w:ascii="Arial" w:hAnsi="Arial" w:cs="Arial"/>
          <w:color w:val="3F2F45"/>
          <w:szCs w:val="18"/>
          <w:lang w:val="en-US"/>
        </w:rPr>
      </w:pPr>
      <w:r w:rsidRPr="003C3A58">
        <w:rPr>
          <w:rStyle w:val="FootnoteReference"/>
          <w:color w:val="3F2F45"/>
          <w:sz w:val="18"/>
          <w:szCs w:val="18"/>
        </w:rPr>
        <w:footnoteRef/>
      </w:r>
      <w:r w:rsidRPr="003C3A58">
        <w:rPr>
          <w:color w:val="3F2F45"/>
          <w:sz w:val="18"/>
          <w:szCs w:val="18"/>
        </w:rPr>
        <w:t xml:space="preserve"> </w:t>
      </w:r>
      <w:r w:rsidRPr="003C3A58">
        <w:rPr>
          <w:color w:val="3F2F45"/>
          <w:sz w:val="18"/>
          <w:szCs w:val="18"/>
        </w:rPr>
        <w:tab/>
      </w:r>
      <w:r w:rsidRPr="003C3A58">
        <w:rPr>
          <w:rFonts w:ascii="Arial" w:hAnsi="Arial" w:cs="Arial"/>
          <w:color w:val="3F2F45"/>
          <w:szCs w:val="18"/>
          <w:lang w:val="en-US"/>
        </w:rPr>
        <w:t>Priority consideration – considered before any other employee (</w:t>
      </w:r>
      <w:proofErr w:type="gramStart"/>
      <w:r w:rsidRPr="003C3A58">
        <w:rPr>
          <w:rFonts w:ascii="Arial" w:hAnsi="Arial" w:cs="Arial"/>
          <w:color w:val="3F2F45"/>
          <w:szCs w:val="18"/>
          <w:lang w:val="en-US"/>
        </w:rPr>
        <w:t>with the exception of</w:t>
      </w:r>
      <w:proofErr w:type="gramEnd"/>
      <w:r w:rsidRPr="003C3A58">
        <w:rPr>
          <w:rFonts w:ascii="Arial" w:hAnsi="Arial" w:cs="Arial"/>
          <w:color w:val="3F2F45"/>
          <w:szCs w:val="18"/>
          <w:lang w:val="en-US"/>
        </w:rPr>
        <w:t xml:space="preserve"> employee who is in receipt of weekly payments for a compensable workplace injury or illness and/or subject to a Rehabilitation and Return to Work Plan) internal or external or considered equally, merit based only if more than one excess employee is put forward for the vacancy.</w:t>
      </w:r>
    </w:p>
  </w:footnote>
  <w:footnote w:id="2">
    <w:p w14:paraId="2EF9839E" w14:textId="3A09927E" w:rsidR="003C3A58" w:rsidRDefault="003C3A58" w:rsidP="003C3A58">
      <w:pPr>
        <w:pStyle w:val="FootnoteText"/>
        <w:ind w:left="142" w:hanging="142"/>
        <w:rPr>
          <w:rFonts w:ascii="Arial" w:hAnsi="Arial" w:cs="Arial"/>
          <w:szCs w:val="18"/>
          <w:lang w:val="en-US"/>
        </w:rPr>
      </w:pPr>
      <w:r w:rsidRPr="003C3A58">
        <w:rPr>
          <w:rStyle w:val="FootnoteReference"/>
          <w:color w:val="3F2F45"/>
          <w:szCs w:val="18"/>
        </w:rPr>
        <w:footnoteRef/>
      </w:r>
      <w:r w:rsidRPr="003C3A58">
        <w:rPr>
          <w:rFonts w:ascii="Arial" w:hAnsi="Arial" w:cs="Arial"/>
          <w:color w:val="3F2F45"/>
          <w:szCs w:val="18"/>
        </w:rPr>
        <w:t xml:space="preserve"> </w:t>
      </w:r>
      <w:r w:rsidRPr="003C3A58">
        <w:rPr>
          <w:rFonts w:ascii="Arial" w:hAnsi="Arial" w:cs="Arial"/>
          <w:color w:val="3F2F45"/>
          <w:szCs w:val="18"/>
          <w:lang w:val="en-US"/>
        </w:rPr>
        <w:t>Suitable – Ability to perform the role responsibilities to a reasonable standard, within a reasonable timeframe and with reasonable training and development. Shows reasonable transferable skills to be able to perform role responsibilities.</w:t>
      </w:r>
      <w:r w:rsidRPr="003C3A58">
        <w:rPr>
          <w:rFonts w:ascii="Arial" w:hAnsi="Arial" w:cs="Arial"/>
          <w:color w:val="3F2F45"/>
          <w:szCs w:val="18"/>
          <w:lang w:val="en-US"/>
        </w:rPr>
        <w:br/>
      </w:r>
    </w:p>
  </w:footnote>
  <w:footnote w:id="3">
    <w:p w14:paraId="73BBB4AE" w14:textId="29259372" w:rsidR="00165ED3" w:rsidRPr="005A6138" w:rsidRDefault="00165ED3" w:rsidP="005A6138">
      <w:pPr>
        <w:pStyle w:val="FootnoteText"/>
        <w:ind w:left="142" w:hanging="142"/>
        <w:rPr>
          <w:rFonts w:ascii="Arial" w:hAnsi="Arial" w:cs="Arial"/>
          <w:color w:val="3F2F45"/>
          <w:szCs w:val="18"/>
          <w:lang w:val="en-US"/>
        </w:rPr>
      </w:pPr>
      <w:r w:rsidRPr="005A6138">
        <w:rPr>
          <w:rStyle w:val="FootnoteReference"/>
          <w:color w:val="3F2F45"/>
          <w:szCs w:val="18"/>
        </w:rPr>
        <w:footnoteRef/>
      </w:r>
      <w:r w:rsidRPr="005A6138">
        <w:rPr>
          <w:rFonts w:ascii="Arial" w:hAnsi="Arial" w:cs="Arial"/>
          <w:color w:val="3F2F45"/>
          <w:szCs w:val="18"/>
        </w:rPr>
        <w:t xml:space="preserve"> Information on the relevant form</w:t>
      </w:r>
      <w:r w:rsidRPr="005A6138">
        <w:rPr>
          <w:rFonts w:ascii="Arial" w:hAnsi="Arial" w:cs="Arial"/>
          <w:color w:val="3F2F45"/>
          <w:szCs w:val="18"/>
          <w:lang w:val="en-US"/>
        </w:rPr>
        <w:t xml:space="preserve"> is available by request from the excess employee’s </w:t>
      </w:r>
      <w:r w:rsidR="00F90130">
        <w:rPr>
          <w:rFonts w:ascii="Arial" w:hAnsi="Arial" w:cs="Arial"/>
          <w:color w:val="3F2F45"/>
          <w:szCs w:val="18"/>
          <w:lang w:val="en-US"/>
        </w:rPr>
        <w:t>c</w:t>
      </w:r>
      <w:r w:rsidRPr="005A6138">
        <w:rPr>
          <w:rFonts w:ascii="Arial" w:hAnsi="Arial" w:cs="Arial"/>
          <w:color w:val="3F2F45"/>
          <w:szCs w:val="18"/>
          <w:lang w:val="en-US"/>
        </w:rPr>
        <w:t xml:space="preserve">ase </w:t>
      </w:r>
      <w:r w:rsidR="00F90130">
        <w:rPr>
          <w:rFonts w:ascii="Arial" w:hAnsi="Arial" w:cs="Arial"/>
          <w:color w:val="3F2F45"/>
          <w:szCs w:val="18"/>
          <w:lang w:val="en-US"/>
        </w:rPr>
        <w:t>m</w:t>
      </w:r>
      <w:r w:rsidRPr="005A6138">
        <w:rPr>
          <w:rFonts w:ascii="Arial" w:hAnsi="Arial" w:cs="Arial"/>
          <w:color w:val="3F2F45"/>
          <w:szCs w:val="18"/>
          <w:lang w:val="en-US"/>
        </w:rPr>
        <w:t xml:space="preserve">anager or from your own human resources </w:t>
      </w:r>
    </w:p>
  </w:footnote>
  <w:footnote w:id="4">
    <w:p w14:paraId="030F735F" w14:textId="605893A9" w:rsidR="00165ED3" w:rsidRDefault="00165ED3" w:rsidP="005A6138">
      <w:pPr>
        <w:pStyle w:val="FootnoteText"/>
        <w:ind w:left="142" w:hanging="142"/>
        <w:rPr>
          <w:rFonts w:ascii="Arial" w:hAnsi="Arial" w:cs="Arial"/>
          <w:sz w:val="22"/>
          <w:lang w:val="en-US"/>
        </w:rPr>
      </w:pPr>
      <w:r w:rsidRPr="005A6138">
        <w:rPr>
          <w:rStyle w:val="FootnoteReference"/>
          <w:color w:val="3F2F45"/>
          <w:szCs w:val="18"/>
        </w:rPr>
        <w:footnoteRef/>
      </w:r>
      <w:r w:rsidRPr="005A6138">
        <w:rPr>
          <w:rFonts w:ascii="Arial" w:hAnsi="Arial" w:cs="Arial"/>
          <w:color w:val="3F2F45"/>
          <w:szCs w:val="18"/>
        </w:rPr>
        <w:t xml:space="preserve"> </w:t>
      </w:r>
      <w:r w:rsidRPr="005A6138">
        <w:rPr>
          <w:rFonts w:ascii="Arial" w:hAnsi="Arial" w:cs="Arial"/>
          <w:color w:val="3F2F45"/>
          <w:szCs w:val="18"/>
          <w:lang w:val="en-US"/>
        </w:rPr>
        <w:t xml:space="preserve">Vacancy </w:t>
      </w:r>
      <w:r w:rsidR="00F90130">
        <w:rPr>
          <w:rFonts w:ascii="Arial" w:hAnsi="Arial" w:cs="Arial"/>
          <w:color w:val="3F2F45"/>
          <w:szCs w:val="18"/>
          <w:lang w:val="en-US"/>
        </w:rPr>
        <w:t>h</w:t>
      </w:r>
      <w:r w:rsidRPr="005A6138">
        <w:rPr>
          <w:rFonts w:ascii="Arial" w:hAnsi="Arial" w:cs="Arial"/>
          <w:color w:val="3F2F45"/>
          <w:szCs w:val="18"/>
          <w:lang w:val="en-US"/>
        </w:rPr>
        <w:t xml:space="preserve">iring </w:t>
      </w:r>
      <w:r w:rsidR="00F90130">
        <w:rPr>
          <w:rFonts w:ascii="Arial" w:hAnsi="Arial" w:cs="Arial"/>
          <w:color w:val="3F2F45"/>
          <w:szCs w:val="18"/>
          <w:lang w:val="en-US"/>
        </w:rPr>
        <w:t>m</w:t>
      </w:r>
      <w:r w:rsidRPr="005A6138">
        <w:rPr>
          <w:rFonts w:ascii="Arial" w:hAnsi="Arial" w:cs="Arial"/>
          <w:color w:val="3F2F45"/>
          <w:szCs w:val="18"/>
          <w:lang w:val="en-US"/>
        </w:rPr>
        <w:t xml:space="preserve">anager, </w:t>
      </w:r>
      <w:r w:rsidR="00F90130">
        <w:rPr>
          <w:rFonts w:ascii="Arial" w:hAnsi="Arial" w:cs="Arial"/>
          <w:color w:val="3F2F45"/>
          <w:szCs w:val="18"/>
          <w:lang w:val="en-US"/>
        </w:rPr>
        <w:t>c</w:t>
      </w:r>
      <w:r w:rsidRPr="005A6138">
        <w:rPr>
          <w:rFonts w:ascii="Arial" w:hAnsi="Arial" w:cs="Arial"/>
          <w:color w:val="3F2F45"/>
          <w:szCs w:val="18"/>
          <w:lang w:val="en-US"/>
        </w:rPr>
        <w:t xml:space="preserve">ase </w:t>
      </w:r>
      <w:r w:rsidR="00F90130">
        <w:rPr>
          <w:rFonts w:ascii="Arial" w:hAnsi="Arial" w:cs="Arial"/>
          <w:color w:val="3F2F45"/>
          <w:szCs w:val="18"/>
          <w:lang w:val="en-US"/>
        </w:rPr>
        <w:t>m</w:t>
      </w:r>
      <w:r w:rsidRPr="005A6138">
        <w:rPr>
          <w:rFonts w:ascii="Arial" w:hAnsi="Arial" w:cs="Arial"/>
          <w:color w:val="3F2F45"/>
          <w:szCs w:val="18"/>
          <w:lang w:val="en-US"/>
        </w:rPr>
        <w:t xml:space="preserve">anager and </w:t>
      </w:r>
      <w:r w:rsidR="00F90130">
        <w:rPr>
          <w:rFonts w:ascii="Arial" w:hAnsi="Arial" w:cs="Arial"/>
          <w:color w:val="3F2F45"/>
          <w:szCs w:val="18"/>
          <w:lang w:val="en-US"/>
        </w:rPr>
        <w:t>e</w:t>
      </w:r>
      <w:r w:rsidRPr="005A6138">
        <w:rPr>
          <w:rFonts w:ascii="Arial" w:hAnsi="Arial" w:cs="Arial"/>
          <w:color w:val="3F2F45"/>
          <w:szCs w:val="18"/>
          <w:lang w:val="en-US"/>
        </w:rPr>
        <w:t xml:space="preserve">xcess </w:t>
      </w:r>
      <w:r w:rsidR="00F90130">
        <w:rPr>
          <w:rFonts w:ascii="Arial" w:hAnsi="Arial" w:cs="Arial"/>
          <w:color w:val="3F2F45"/>
          <w:szCs w:val="18"/>
          <w:lang w:val="en-US"/>
        </w:rPr>
        <w:t>e</w:t>
      </w:r>
      <w:r w:rsidRPr="005A6138">
        <w:rPr>
          <w:rFonts w:ascii="Arial" w:hAnsi="Arial" w:cs="Arial"/>
          <w:color w:val="3F2F45"/>
          <w:szCs w:val="18"/>
          <w:lang w:val="en-US"/>
        </w:rPr>
        <w:t>mployee</w:t>
      </w:r>
      <w:r>
        <w:rPr>
          <w:rFonts w:ascii="Arial" w:hAnsi="Arial" w:cs="Arial"/>
          <w:szCs w:val="18"/>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8C53" w14:textId="77777777" w:rsidR="00280395" w:rsidRDefault="00280395">
    <w:pPr>
      <w:pStyle w:val="Header"/>
    </w:pPr>
    <w:r>
      <w:rPr>
        <w:noProof/>
      </w:rPr>
      <mc:AlternateContent>
        <mc:Choice Requires="wps">
          <w:drawing>
            <wp:anchor distT="0" distB="0" distL="0" distR="0" simplePos="0" relativeHeight="251676672" behindDoc="0" locked="0" layoutInCell="1" allowOverlap="1" wp14:anchorId="6FB2BE99" wp14:editId="3746DA76">
              <wp:simplePos x="635" y="635"/>
              <wp:positionH relativeFrom="column">
                <wp:align>center</wp:align>
              </wp:positionH>
              <wp:positionV relativeFrom="paragraph">
                <wp:posOffset>635</wp:posOffset>
              </wp:positionV>
              <wp:extent cx="443865" cy="443865"/>
              <wp:effectExtent l="0" t="0" r="635" b="17145"/>
              <wp:wrapSquare wrapText="bothSides"/>
              <wp:docPr id="18" name="Text Box 1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B2BE99" id="_x0000_t202" coordsize="21600,21600" o:spt="202" path="m,l,21600r21600,l21600,xe">
              <v:stroke joinstyle="miter"/>
              <v:path gradientshapeok="t" o:connecttype="rect"/>
            </v:shapetype>
            <v:shape id="Text Box 18" o:spid="_x0000_s1027"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791606F" w14:textId="77777777" w:rsidR="00280395" w:rsidRPr="00280395" w:rsidRDefault="00280395">
                    <w:pPr>
                      <w:rPr>
                        <w:rFonts w:ascii="Calibri" w:eastAsia="Calibri" w:hAnsi="Calibri" w:cs="Calibri"/>
                        <w:color w:val="A80000"/>
                        <w:sz w:val="24"/>
                        <w:szCs w:val="24"/>
                      </w:rPr>
                    </w:pPr>
                    <w:r w:rsidRPr="00280395">
                      <w:rPr>
                        <w:rFonts w:ascii="Calibri" w:eastAsia="Calibri" w:hAnsi="Calibri" w:cs="Calibri"/>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9E9D" w14:textId="0D0CDF61" w:rsidR="00AB774E" w:rsidRPr="00AB774E" w:rsidRDefault="00AB774E" w:rsidP="00AB774E">
    <w:pPr>
      <w:tabs>
        <w:tab w:val="left" w:pos="2028"/>
      </w:tabs>
      <w:spacing w:after="0" w:line="240" w:lineRule="auto"/>
      <w:rPr>
        <w:rFonts w:eastAsia="Times New Roman"/>
        <w:b/>
        <w:bCs/>
        <w:szCs w:val="24"/>
        <w:lang w:eastAsia="en-AU"/>
      </w:rPr>
    </w:pPr>
    <w:r w:rsidRPr="00AB774E">
      <w:rPr>
        <w:rFonts w:eastAsia="Times New Roman"/>
        <w:b/>
        <w:bCs/>
        <w:szCs w:val="24"/>
        <w:lang w:eastAsia="en-AU"/>
      </w:rPr>
      <w:t xml:space="preserve">TEMPLATE </w:t>
    </w:r>
    <w:r w:rsidR="003C3A58">
      <w:rPr>
        <w:rFonts w:eastAsia="Times New Roman"/>
        <w:b/>
        <w:bCs/>
        <w:szCs w:val="24"/>
        <w:lang w:eastAsia="en-AU"/>
      </w:rPr>
      <w:t>S</w:t>
    </w:r>
    <w:r w:rsidRPr="00AB774E">
      <w:rPr>
        <w:rFonts w:eastAsia="Times New Roman"/>
        <w:b/>
        <w:bCs/>
        <w:szCs w:val="24"/>
        <w:lang w:eastAsia="en-AU"/>
      </w:rPr>
      <w:t>W</w:t>
    </w:r>
    <w:r w:rsidR="003C3A58">
      <w:rPr>
        <w:rFonts w:eastAsia="Times New Roman"/>
        <w:b/>
        <w:bCs/>
        <w:szCs w:val="24"/>
        <w:lang w:eastAsia="en-AU"/>
      </w:rPr>
      <w:t>-A</w:t>
    </w:r>
  </w:p>
  <w:p w14:paraId="6E566C70" w14:textId="77777777" w:rsidR="003C3A58" w:rsidRDefault="003C3A58" w:rsidP="003C3A58">
    <w:pPr>
      <w:tabs>
        <w:tab w:val="center" w:pos="4153"/>
        <w:tab w:val="right" w:pos="8306"/>
      </w:tabs>
      <w:spacing w:after="0" w:line="240" w:lineRule="auto"/>
      <w:rPr>
        <w:rFonts w:eastAsia="Times New Roman"/>
        <w:i/>
        <w:color w:val="auto"/>
        <w:szCs w:val="24"/>
        <w:lang w:eastAsia="en-AU"/>
      </w:rPr>
    </w:pPr>
    <w:r>
      <w:rPr>
        <w:rFonts w:eastAsia="Times New Roman"/>
        <w:szCs w:val="24"/>
        <w:lang w:eastAsia="en-AU"/>
      </w:rPr>
      <w:t xml:space="preserve">For public sector agencies and employees covered by the </w:t>
    </w:r>
    <w:r>
      <w:rPr>
        <w:rFonts w:eastAsia="Times New Roman"/>
        <w:i/>
        <w:szCs w:val="24"/>
        <w:lang w:eastAsia="en-AU"/>
      </w:rPr>
      <w:t xml:space="preserve">South Australian Public Sector Enterprise Agreement: Salaried 2021 </w:t>
    </w:r>
    <w:r>
      <w:rPr>
        <w:rFonts w:eastAsia="Times New Roman"/>
        <w:iCs/>
        <w:szCs w:val="24"/>
        <w:lang w:eastAsia="en-AU"/>
      </w:rPr>
      <w:t xml:space="preserve">and </w:t>
    </w:r>
    <w:r>
      <w:rPr>
        <w:rFonts w:eastAsia="Times New Roman"/>
        <w:i/>
        <w:szCs w:val="24"/>
        <w:lang w:eastAsia="en-AU"/>
      </w:rPr>
      <w:t>South Australian Public Sector Wages Parity Enterprise Agreement: Weekly Paid 2022</w:t>
    </w:r>
  </w:p>
  <w:p w14:paraId="69DC3117" w14:textId="77777777" w:rsidR="00AB774E" w:rsidRDefault="00AB7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FDA"/>
    <w:multiLevelType w:val="hybridMultilevel"/>
    <w:tmpl w:val="A418DE9E"/>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393022EE"/>
    <w:multiLevelType w:val="hybridMultilevel"/>
    <w:tmpl w:val="81226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5C71D7"/>
    <w:multiLevelType w:val="hybridMultilevel"/>
    <w:tmpl w:val="7C0AFED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630981"/>
    <w:multiLevelType w:val="hybridMultilevel"/>
    <w:tmpl w:val="A45E56FA"/>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6F5C6435"/>
    <w:multiLevelType w:val="hybridMultilevel"/>
    <w:tmpl w:val="21DA2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5C4719"/>
    <w:multiLevelType w:val="hybridMultilevel"/>
    <w:tmpl w:val="9384A04A"/>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B832AE"/>
    <w:multiLevelType w:val="hybridMultilevel"/>
    <w:tmpl w:val="F94EE6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886B8F"/>
    <w:multiLevelType w:val="hybridMultilevel"/>
    <w:tmpl w:val="C81C7F8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1776946">
    <w:abstractNumId w:val="4"/>
  </w:num>
  <w:num w:numId="2" w16cid:durableId="6711368">
    <w:abstractNumId w:val="2"/>
  </w:num>
  <w:num w:numId="3" w16cid:durableId="397477947">
    <w:abstractNumId w:val="8"/>
  </w:num>
  <w:num w:numId="4" w16cid:durableId="181403969">
    <w:abstractNumId w:val="1"/>
  </w:num>
  <w:num w:numId="5" w16cid:durableId="651831107">
    <w:abstractNumId w:val="5"/>
    <w:lvlOverride w:ilvl="0">
      <w:startOverride w:val="1"/>
    </w:lvlOverride>
    <w:lvlOverride w:ilvl="1"/>
    <w:lvlOverride w:ilvl="2"/>
    <w:lvlOverride w:ilvl="3"/>
    <w:lvlOverride w:ilvl="4"/>
    <w:lvlOverride w:ilvl="5"/>
    <w:lvlOverride w:ilvl="6"/>
    <w:lvlOverride w:ilvl="7"/>
    <w:lvlOverride w:ilvl="8"/>
  </w:num>
  <w:num w:numId="6" w16cid:durableId="1271549426">
    <w:abstractNumId w:val="0"/>
  </w:num>
  <w:num w:numId="7" w16cid:durableId="1636638438">
    <w:abstractNumId w:val="0"/>
  </w:num>
  <w:num w:numId="8" w16cid:durableId="209415348">
    <w:abstractNumId w:val="5"/>
  </w:num>
  <w:num w:numId="9" w16cid:durableId="876939924">
    <w:abstractNumId w:val="6"/>
  </w:num>
  <w:num w:numId="10" w16cid:durableId="1375815859">
    <w:abstractNumId w:val="7"/>
  </w:num>
  <w:num w:numId="11" w16cid:durableId="394743103">
    <w:abstractNumId w:val="3"/>
  </w:num>
  <w:num w:numId="12" w16cid:durableId="750931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BC"/>
    <w:rsid w:val="000130C1"/>
    <w:rsid w:val="00047FB4"/>
    <w:rsid w:val="000A5575"/>
    <w:rsid w:val="000D752E"/>
    <w:rsid w:val="0010657E"/>
    <w:rsid w:val="00144309"/>
    <w:rsid w:val="0015264F"/>
    <w:rsid w:val="00161D7E"/>
    <w:rsid w:val="00164A09"/>
    <w:rsid w:val="00165ED3"/>
    <w:rsid w:val="00172DF0"/>
    <w:rsid w:val="001B233B"/>
    <w:rsid w:val="002233D0"/>
    <w:rsid w:val="002500B8"/>
    <w:rsid w:val="00280395"/>
    <w:rsid w:val="002E0BF0"/>
    <w:rsid w:val="002F4AC2"/>
    <w:rsid w:val="00302575"/>
    <w:rsid w:val="0031390C"/>
    <w:rsid w:val="00313EA4"/>
    <w:rsid w:val="00352AA4"/>
    <w:rsid w:val="00380DEA"/>
    <w:rsid w:val="0038521F"/>
    <w:rsid w:val="003A7403"/>
    <w:rsid w:val="003C3A58"/>
    <w:rsid w:val="003F0BC3"/>
    <w:rsid w:val="004037ED"/>
    <w:rsid w:val="004241C7"/>
    <w:rsid w:val="004468A7"/>
    <w:rsid w:val="00462BB9"/>
    <w:rsid w:val="00462FC8"/>
    <w:rsid w:val="004905BF"/>
    <w:rsid w:val="00491568"/>
    <w:rsid w:val="004A434C"/>
    <w:rsid w:val="005472CA"/>
    <w:rsid w:val="0055765F"/>
    <w:rsid w:val="005611AE"/>
    <w:rsid w:val="0057598F"/>
    <w:rsid w:val="005A6138"/>
    <w:rsid w:val="005D5F66"/>
    <w:rsid w:val="00650420"/>
    <w:rsid w:val="00660C41"/>
    <w:rsid w:val="00672625"/>
    <w:rsid w:val="00680208"/>
    <w:rsid w:val="00687930"/>
    <w:rsid w:val="006934CD"/>
    <w:rsid w:val="00693D93"/>
    <w:rsid w:val="006B51AD"/>
    <w:rsid w:val="006B65F4"/>
    <w:rsid w:val="006D7ABB"/>
    <w:rsid w:val="006E1A0E"/>
    <w:rsid w:val="007045EE"/>
    <w:rsid w:val="00712760"/>
    <w:rsid w:val="00734CC0"/>
    <w:rsid w:val="0074304D"/>
    <w:rsid w:val="007565D5"/>
    <w:rsid w:val="007701DD"/>
    <w:rsid w:val="007734F9"/>
    <w:rsid w:val="007800D3"/>
    <w:rsid w:val="00786FB0"/>
    <w:rsid w:val="007C2CA0"/>
    <w:rsid w:val="007E1CFF"/>
    <w:rsid w:val="007E50D9"/>
    <w:rsid w:val="007F1003"/>
    <w:rsid w:val="00811FA4"/>
    <w:rsid w:val="00827943"/>
    <w:rsid w:val="0089115E"/>
    <w:rsid w:val="008A43D8"/>
    <w:rsid w:val="008A478E"/>
    <w:rsid w:val="008B36BD"/>
    <w:rsid w:val="008B3899"/>
    <w:rsid w:val="009209F1"/>
    <w:rsid w:val="009622C0"/>
    <w:rsid w:val="00974274"/>
    <w:rsid w:val="009C1E2C"/>
    <w:rsid w:val="009D54BC"/>
    <w:rsid w:val="009E671E"/>
    <w:rsid w:val="00A457A4"/>
    <w:rsid w:val="00A559B9"/>
    <w:rsid w:val="00A60611"/>
    <w:rsid w:val="00A65B88"/>
    <w:rsid w:val="00A87EE7"/>
    <w:rsid w:val="00A943D8"/>
    <w:rsid w:val="00AA0AC1"/>
    <w:rsid w:val="00AA4A98"/>
    <w:rsid w:val="00AB6044"/>
    <w:rsid w:val="00AB774E"/>
    <w:rsid w:val="00AC4641"/>
    <w:rsid w:val="00AD7EA0"/>
    <w:rsid w:val="00AF6280"/>
    <w:rsid w:val="00B16407"/>
    <w:rsid w:val="00B45D97"/>
    <w:rsid w:val="00B5293C"/>
    <w:rsid w:val="00B8082B"/>
    <w:rsid w:val="00B815E3"/>
    <w:rsid w:val="00BB48AE"/>
    <w:rsid w:val="00BB6255"/>
    <w:rsid w:val="00BC47AF"/>
    <w:rsid w:val="00C216D7"/>
    <w:rsid w:val="00C615D8"/>
    <w:rsid w:val="00C86376"/>
    <w:rsid w:val="00CA138A"/>
    <w:rsid w:val="00CA4250"/>
    <w:rsid w:val="00CA7D63"/>
    <w:rsid w:val="00D26090"/>
    <w:rsid w:val="00D33256"/>
    <w:rsid w:val="00D462D2"/>
    <w:rsid w:val="00D72B08"/>
    <w:rsid w:val="00D8534F"/>
    <w:rsid w:val="00DB7481"/>
    <w:rsid w:val="00DD7DAE"/>
    <w:rsid w:val="00DE61CA"/>
    <w:rsid w:val="00DF6569"/>
    <w:rsid w:val="00E150D4"/>
    <w:rsid w:val="00E2376E"/>
    <w:rsid w:val="00E3521F"/>
    <w:rsid w:val="00E4305D"/>
    <w:rsid w:val="00E60A13"/>
    <w:rsid w:val="00E66C6E"/>
    <w:rsid w:val="00E75E77"/>
    <w:rsid w:val="00E8690D"/>
    <w:rsid w:val="00E90293"/>
    <w:rsid w:val="00EC0980"/>
    <w:rsid w:val="00EE68C2"/>
    <w:rsid w:val="00EF17E6"/>
    <w:rsid w:val="00F109D2"/>
    <w:rsid w:val="00F367FB"/>
    <w:rsid w:val="00F81D05"/>
    <w:rsid w:val="00F90130"/>
    <w:rsid w:val="00FB3943"/>
    <w:rsid w:val="00FE1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197"/>
  <w15:chartTrackingRefBased/>
  <w15:docId w15:val="{8ED122CD-EBA4-4189-8ED3-691578F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13"/>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EE68C2"/>
    <w:pPr>
      <w:keepNext/>
      <w:keepLines/>
      <w:spacing w:before="240" w:after="240" w:line="80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E60A13"/>
    <w:pPr>
      <w:keepNext/>
      <w:keepLines/>
      <w:spacing w:before="240" w:after="120" w:line="260" w:lineRule="exact"/>
      <w:outlineLvl w:val="1"/>
    </w:pPr>
    <w:rPr>
      <w:rFonts w:eastAsiaTheme="majorEastAsia"/>
      <w:b/>
      <w:bC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C2"/>
    <w:rPr>
      <w:rFonts w:ascii="Arial" w:eastAsiaTheme="majorEastAsia" w:hAnsi="Arial" w:cs="Arial"/>
      <w:color w:val="198CA1"/>
      <w:sz w:val="52"/>
      <w:szCs w:val="52"/>
    </w:rPr>
  </w:style>
  <w:style w:type="paragraph" w:styleId="Header">
    <w:name w:val="header"/>
    <w:basedOn w:val="Normal"/>
    <w:link w:val="HeaderChar"/>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E60A13"/>
    <w:rPr>
      <w:rFonts w:ascii="Arial" w:eastAsiaTheme="majorEastAsia" w:hAnsi="Arial" w:cs="Arial"/>
      <w:b/>
      <w:bC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9622C0"/>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character" w:styleId="PlaceholderText">
    <w:name w:val="Placeholder Text"/>
    <w:basedOn w:val="DefaultParagraphFont"/>
    <w:uiPriority w:val="99"/>
    <w:semiHidden/>
    <w:rsid w:val="00F109D2"/>
    <w:rPr>
      <w:color w:val="808080"/>
    </w:rPr>
  </w:style>
  <w:style w:type="paragraph" w:styleId="FootnoteText">
    <w:name w:val="footnote text"/>
    <w:basedOn w:val="Normal"/>
    <w:link w:val="FootnoteTextChar"/>
    <w:uiPriority w:val="99"/>
    <w:semiHidden/>
    <w:unhideWhenUsed/>
    <w:rsid w:val="007F1003"/>
    <w:pPr>
      <w:spacing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7F1003"/>
    <w:rPr>
      <w:sz w:val="20"/>
      <w:szCs w:val="20"/>
    </w:rPr>
  </w:style>
  <w:style w:type="character" w:styleId="FootnoteReference">
    <w:name w:val="footnote reference"/>
    <w:basedOn w:val="DefaultParagraphFont"/>
    <w:uiPriority w:val="99"/>
    <w:semiHidden/>
    <w:unhideWhenUsed/>
    <w:rsid w:val="007F1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515">
      <w:bodyDiv w:val="1"/>
      <w:marLeft w:val="0"/>
      <w:marRight w:val="0"/>
      <w:marTop w:val="0"/>
      <w:marBottom w:val="0"/>
      <w:divBdr>
        <w:top w:val="none" w:sz="0" w:space="0" w:color="auto"/>
        <w:left w:val="none" w:sz="0" w:space="0" w:color="auto"/>
        <w:bottom w:val="none" w:sz="0" w:space="0" w:color="auto"/>
        <w:right w:val="none" w:sz="0" w:space="0" w:color="auto"/>
      </w:divBdr>
    </w:div>
    <w:div w:id="159540030">
      <w:bodyDiv w:val="1"/>
      <w:marLeft w:val="0"/>
      <w:marRight w:val="0"/>
      <w:marTop w:val="0"/>
      <w:marBottom w:val="0"/>
      <w:divBdr>
        <w:top w:val="none" w:sz="0" w:space="0" w:color="auto"/>
        <w:left w:val="none" w:sz="0" w:space="0" w:color="auto"/>
        <w:bottom w:val="none" w:sz="0" w:space="0" w:color="auto"/>
        <w:right w:val="none" w:sz="0" w:space="0" w:color="auto"/>
      </w:divBdr>
    </w:div>
    <w:div w:id="213928762">
      <w:bodyDiv w:val="1"/>
      <w:marLeft w:val="0"/>
      <w:marRight w:val="0"/>
      <w:marTop w:val="0"/>
      <w:marBottom w:val="0"/>
      <w:divBdr>
        <w:top w:val="none" w:sz="0" w:space="0" w:color="auto"/>
        <w:left w:val="none" w:sz="0" w:space="0" w:color="auto"/>
        <w:bottom w:val="none" w:sz="0" w:space="0" w:color="auto"/>
        <w:right w:val="none" w:sz="0" w:space="0" w:color="auto"/>
      </w:divBdr>
    </w:div>
    <w:div w:id="275985875">
      <w:bodyDiv w:val="1"/>
      <w:marLeft w:val="0"/>
      <w:marRight w:val="0"/>
      <w:marTop w:val="0"/>
      <w:marBottom w:val="0"/>
      <w:divBdr>
        <w:top w:val="none" w:sz="0" w:space="0" w:color="auto"/>
        <w:left w:val="none" w:sz="0" w:space="0" w:color="auto"/>
        <w:bottom w:val="none" w:sz="0" w:space="0" w:color="auto"/>
        <w:right w:val="none" w:sz="0" w:space="0" w:color="auto"/>
      </w:divBdr>
    </w:div>
    <w:div w:id="858809305">
      <w:bodyDiv w:val="1"/>
      <w:marLeft w:val="0"/>
      <w:marRight w:val="0"/>
      <w:marTop w:val="0"/>
      <w:marBottom w:val="0"/>
      <w:divBdr>
        <w:top w:val="none" w:sz="0" w:space="0" w:color="auto"/>
        <w:left w:val="none" w:sz="0" w:space="0" w:color="auto"/>
        <w:bottom w:val="none" w:sz="0" w:space="0" w:color="auto"/>
        <w:right w:val="none" w:sz="0" w:space="0" w:color="auto"/>
      </w:divBdr>
    </w:div>
    <w:div w:id="991055762">
      <w:bodyDiv w:val="1"/>
      <w:marLeft w:val="0"/>
      <w:marRight w:val="0"/>
      <w:marTop w:val="0"/>
      <w:marBottom w:val="0"/>
      <w:divBdr>
        <w:top w:val="none" w:sz="0" w:space="0" w:color="auto"/>
        <w:left w:val="none" w:sz="0" w:space="0" w:color="auto"/>
        <w:bottom w:val="none" w:sz="0" w:space="0" w:color="auto"/>
        <w:right w:val="none" w:sz="0" w:space="0" w:color="auto"/>
      </w:divBdr>
    </w:div>
    <w:div w:id="1080951499">
      <w:bodyDiv w:val="1"/>
      <w:marLeft w:val="0"/>
      <w:marRight w:val="0"/>
      <w:marTop w:val="0"/>
      <w:marBottom w:val="0"/>
      <w:divBdr>
        <w:top w:val="none" w:sz="0" w:space="0" w:color="auto"/>
        <w:left w:val="none" w:sz="0" w:space="0" w:color="auto"/>
        <w:bottom w:val="none" w:sz="0" w:space="0" w:color="auto"/>
        <w:right w:val="none" w:sz="0" w:space="0" w:color="auto"/>
      </w:divBdr>
    </w:div>
    <w:div w:id="1444691033">
      <w:bodyDiv w:val="1"/>
      <w:marLeft w:val="0"/>
      <w:marRight w:val="0"/>
      <w:marTop w:val="0"/>
      <w:marBottom w:val="0"/>
      <w:divBdr>
        <w:top w:val="none" w:sz="0" w:space="0" w:color="auto"/>
        <w:left w:val="none" w:sz="0" w:space="0" w:color="auto"/>
        <w:bottom w:val="none" w:sz="0" w:space="0" w:color="auto"/>
        <w:right w:val="none" w:sz="0" w:space="0" w:color="auto"/>
      </w:divBdr>
    </w:div>
    <w:div w:id="1977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sector.s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ea01\Documents\Guidelines\OCPSE_DeterminationsGuidelines%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606129F2755B4AAE23AEFAE461E072" ma:contentTypeVersion="12" ma:contentTypeDescription="Create a new document." ma:contentTypeScope="" ma:versionID="6c21efa0cbe2dab8029b705439fee45e">
  <xsd:schema xmlns:xsd="http://www.w3.org/2001/XMLSchema" xmlns:xs="http://www.w3.org/2001/XMLSchema" xmlns:p="http://schemas.microsoft.com/office/2006/metadata/properties" xmlns:ns2="7191d010-4fd0-4081-958b-a4cc775faa31" xmlns:ns3="8843d2fa-4f2b-431e-87d9-f9a34a81fc1e" targetNamespace="http://schemas.microsoft.com/office/2006/metadata/properties" ma:root="true" ma:fieldsID="7c6da6d8d99a07e6eb9d5d09a25a2a94" ns2:_="" ns3:_="">
    <xsd:import namespace="7191d010-4fd0-4081-958b-a4cc775faa31"/>
    <xsd:import namespace="8843d2fa-4f2b-431e-87d9-f9a34a81f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1d010-4fd0-4081-958b-a4cc775f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3d2fa-4f2b-431e-87d9-f9a34a81f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9F5E3-C87F-44B7-BE7D-8294790EF3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C41BF9-C5A0-4242-B118-83A07770F51C}">
  <ds:schemaRefs>
    <ds:schemaRef ds:uri="http://schemas.microsoft.com/sharepoint/v3/contenttype/forms"/>
  </ds:schemaRefs>
</ds:datastoreItem>
</file>

<file path=customXml/itemProps3.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customXml/itemProps4.xml><?xml version="1.0" encoding="utf-8"?>
<ds:datastoreItem xmlns:ds="http://schemas.openxmlformats.org/officeDocument/2006/customXml" ds:itemID="{96C4940C-FC74-4804-891B-736FB1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1d010-4fd0-4081-958b-a4cc775faa31"/>
    <ds:schemaRef ds:uri="8843d2fa-4f2b-431e-87d9-f9a34a81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OCPSE_DeterminationsGuidelines Doc Template.dotx</Template>
  <TotalTime>2</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Harvey</dc:creator>
  <cp:keywords/>
  <dc:description/>
  <cp:lastModifiedBy>Summerton, Jan (OCPSE)</cp:lastModifiedBy>
  <cp:revision>3</cp:revision>
  <dcterms:created xsi:type="dcterms:W3CDTF">2022-06-10T02:04:00Z</dcterms:created>
  <dcterms:modified xsi:type="dcterms:W3CDTF">2022-06-10T02:06:00Z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0x010100E8606129F2755B4AAE23AEFAE461E072</vt:lpwstr>
  </property>
  <property fmtid="{D5CDD505-2E9C-101B-9397-08002B2CF9AE}" pid="3" name="ClassificationContentMarkingHeaderShapeIds">
    <vt:lpwstr>1,2,4,5,6,7,9,a,c,d,e,10,11,12,13</vt:lpwstr>
  </property>
  <property fmtid="{D5CDD505-2E9C-101B-9397-08002B2CF9AE}" pid="4" name="ClassificationContentMarkingHeaderFontProps">
    <vt:lpwstr>#a80000,12,Calibri</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2021-07-26T03:57:34Z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75d9d2ca-3f43-426d-ac12-86b72e35fc24</vt:lpwstr>
  </property>
  <property fmtid="{D5CDD505-2E9C-101B-9397-08002B2CF9AE}" pid="12" name="MSIP_Label_77274858-3b1d-4431-8679-d878f40e28fd_ContentBits">
    <vt:lpwstr>1</vt:lpwstr>
  </property>
</Properties>
</file>